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0" w:line="240" w:lineRule="auto"/>
        <w:ind w:left="0" w:firstLine="0"/>
        <w:jc w:val="center"/>
        <w:rPr>
          <w:rFonts w:ascii="Roboto" w:cs="Roboto" w:eastAsia="Roboto" w:hAnsi="Roboto"/>
          <w:b w:val="1"/>
          <w:sz w:val="50"/>
          <w:szCs w:val="50"/>
        </w:rPr>
      </w:pPr>
      <w:r w:rsidDel="00000000" w:rsidR="00000000" w:rsidRPr="00000000">
        <w:rPr>
          <w:rFonts w:ascii="Roboto" w:cs="Roboto" w:eastAsia="Roboto" w:hAnsi="Roboto"/>
          <w:b w:val="1"/>
          <w:sz w:val="50"/>
          <w:szCs w:val="50"/>
          <w:rtl w:val="0"/>
        </w:rPr>
        <w:t xml:space="preserve">Checklist para Organização de Viagens em Grupo para o Peru</w:t>
      </w:r>
    </w:p>
    <w:p w:rsidR="00000000" w:rsidDel="00000000" w:rsidP="00000000" w:rsidRDefault="00000000" w:rsidRPr="00000000" w14:paraId="00000002">
      <w:pPr>
        <w:pStyle w:val="Title"/>
        <w:numPr>
          <w:ilvl w:val="0"/>
          <w:numId w:val="1"/>
        </w:numPr>
        <w:spacing w:after="200" w:lineRule="auto"/>
        <w:ind w:left="720" w:hanging="360"/>
        <w:rPr>
          <w:u w:val="none"/>
        </w:rPr>
      </w:pPr>
      <w:bookmarkStart w:colFirst="0" w:colLast="0" w:name="_v1boe8pqn22e" w:id="0"/>
      <w:bookmarkEnd w:id="0"/>
      <w:r w:rsidDel="00000000" w:rsidR="00000000" w:rsidRPr="00000000">
        <w:rPr>
          <w:rtl w:val="0"/>
        </w:rPr>
        <w:t xml:space="preserve">Antes da Viagem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numPr>
          <w:ilvl w:val="1"/>
          <w:numId w:val="1"/>
        </w:numPr>
        <w:spacing w:before="200" w:line="240" w:lineRule="auto"/>
        <w:ind w:left="1440" w:hanging="360"/>
        <w:rPr/>
      </w:pPr>
      <w:bookmarkStart w:colFirst="0" w:colLast="0" w:name="_w3qzifdnccvh" w:id="1"/>
      <w:bookmarkEnd w:id="1"/>
      <w:r w:rsidDel="00000000" w:rsidR="00000000" w:rsidRPr="00000000">
        <w:rPr>
          <w:rtl w:val="0"/>
        </w:rPr>
        <w:t xml:space="preserve">Identificação dos Interesses do Grupo</w:t>
      </w:r>
    </w:p>
    <w:p w:rsidR="00000000" w:rsidDel="00000000" w:rsidP="00000000" w:rsidRDefault="00000000" w:rsidRPr="00000000" w14:paraId="00000004">
      <w:pPr>
        <w:numPr>
          <w:ilvl w:val="2"/>
          <w:numId w:val="1"/>
        </w:numPr>
        <w:spacing w:after="0" w:afterAutospacing="0"/>
        <w:ind w:left="216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Compreender os objetivos e paixões específicas do grupo (cultura, natureza, aventura).</w:t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ind w:left="216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Estabelecer uma base sólida para criar uma experiência personalizada.</w:t>
      </w:r>
    </w:p>
    <w:p w:rsidR="00000000" w:rsidDel="00000000" w:rsidP="00000000" w:rsidRDefault="00000000" w:rsidRPr="00000000" w14:paraId="00000006">
      <w:pPr>
        <w:pStyle w:val="Subtitle"/>
        <w:numPr>
          <w:ilvl w:val="1"/>
          <w:numId w:val="1"/>
        </w:numPr>
        <w:ind w:left="1440" w:hanging="360"/>
        <w:rPr/>
      </w:pPr>
      <w:bookmarkStart w:colFirst="0" w:colLast="0" w:name="_x782bup30hu" w:id="2"/>
      <w:bookmarkEnd w:id="2"/>
      <w:r w:rsidDel="00000000" w:rsidR="00000000" w:rsidRPr="00000000">
        <w:rPr>
          <w:rtl w:val="0"/>
        </w:rPr>
        <w:t xml:space="preserve">Visão Panorâmica dos Destinos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spacing w:after="0" w:afterAutospacing="0"/>
        <w:ind w:left="216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Apresentar destinos imperdíveis, desde a mágica Machu Picchu até vibrantes metrópoles.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Destacar a diversidade geográfica e cultural do Peru.</w:t>
      </w:r>
    </w:p>
    <w:p w:rsidR="00000000" w:rsidDel="00000000" w:rsidP="00000000" w:rsidRDefault="00000000" w:rsidRPr="00000000" w14:paraId="00000009">
      <w:pPr>
        <w:pStyle w:val="Subtitle"/>
        <w:numPr>
          <w:ilvl w:val="1"/>
          <w:numId w:val="1"/>
        </w:numPr>
        <w:ind w:left="1440" w:hanging="360"/>
        <w:rPr/>
      </w:pPr>
      <w:bookmarkStart w:colFirst="0" w:colLast="0" w:name="_2cu41wfif905" w:id="3"/>
      <w:bookmarkEnd w:id="3"/>
      <w:r w:rsidDel="00000000" w:rsidR="00000000" w:rsidRPr="00000000">
        <w:rPr>
          <w:rtl w:val="0"/>
        </w:rPr>
        <w:t xml:space="preserve">Análise da Temporada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spacing w:after="0" w:afterAutospacing="0"/>
        <w:ind w:left="216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Incluir análise das melhores épocas para visitar cada destino.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after="200" w:before="0" w:lineRule="auto"/>
        <w:ind w:left="216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Considerar fatores climáticos e eventos sazonais.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numPr>
          <w:ilvl w:val="0"/>
          <w:numId w:val="1"/>
        </w:numPr>
        <w:ind w:left="720" w:hanging="360"/>
        <w:rPr/>
      </w:pPr>
      <w:bookmarkStart w:colFirst="0" w:colLast="0" w:name="_x3hfkp2r02gw" w:id="4"/>
      <w:bookmarkEnd w:id="4"/>
      <w:r w:rsidDel="00000000" w:rsidR="00000000" w:rsidRPr="00000000">
        <w:rPr>
          <w:rtl w:val="0"/>
        </w:rPr>
        <w:t xml:space="preserve">Durante o Planejamento</w:t>
      </w:r>
    </w:p>
    <w:p w:rsidR="00000000" w:rsidDel="00000000" w:rsidP="00000000" w:rsidRDefault="00000000" w:rsidRPr="00000000" w14:paraId="0000000D">
      <w:pPr>
        <w:pStyle w:val="Subtitle"/>
        <w:numPr>
          <w:ilvl w:val="1"/>
          <w:numId w:val="1"/>
        </w:numPr>
      </w:pPr>
      <w:bookmarkStart w:colFirst="0" w:colLast="0" w:name="_8kvnvhpmbijw" w:id="5"/>
      <w:bookmarkEnd w:id="5"/>
      <w:r w:rsidDel="00000000" w:rsidR="00000000" w:rsidRPr="00000000">
        <w:rPr>
          <w:rtl w:val="0"/>
        </w:rPr>
        <w:t xml:space="preserve">Escolha de Acomodações Estratégicas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after="0" w:afterAutospacing="0"/>
        <w:ind w:left="2160" w:hanging="360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Explorar orientações essenciais para escolher acomodações adequadas.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after="200" w:before="0" w:lineRule="auto"/>
        <w:ind w:left="2160" w:hanging="360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Desvendar estratégias para transporte interno, seja por voos, ônibus turísticos ou trens.</w:t>
      </w:r>
    </w:p>
    <w:p w:rsidR="00000000" w:rsidDel="00000000" w:rsidP="00000000" w:rsidRDefault="00000000" w:rsidRPr="00000000" w14:paraId="00000010">
      <w:pPr>
        <w:pStyle w:val="Subtitle"/>
        <w:numPr>
          <w:ilvl w:val="1"/>
          <w:numId w:val="1"/>
        </w:numPr>
        <w:spacing w:after="200" w:lineRule="auto"/>
        <w:ind w:left="1440" w:hanging="360"/>
        <w:rPr/>
      </w:pPr>
      <w:bookmarkStart w:colFirst="0" w:colLast="0" w:name="_bbfght9laj87" w:id="6"/>
      <w:bookmarkEnd w:id="6"/>
      <w:r w:rsidDel="00000000" w:rsidR="00000000" w:rsidRPr="00000000">
        <w:rPr>
          <w:rtl w:val="0"/>
        </w:rPr>
        <w:t xml:space="preserve">Considerações de Segurança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  <w:t xml:space="preserve">Destacar a importância vital de considerações de segurança.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Escolher áreas seguras para </w:t>
      </w:r>
      <w:r w:rsidDel="00000000" w:rsidR="00000000" w:rsidRPr="00000000">
        <w:rPr>
          <w:sz w:val="24"/>
          <w:szCs w:val="24"/>
          <w:rtl w:val="0"/>
        </w:rPr>
        <w:t xml:space="preserve">acomodação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e implementar medidas preventivas durante as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Title"/>
        <w:numPr>
          <w:ilvl w:val="0"/>
          <w:numId w:val="1"/>
        </w:numPr>
        <w:spacing w:after="200" w:before="200" w:lineRule="auto"/>
        <w:ind w:left="720" w:hanging="360"/>
        <w:rPr/>
      </w:pPr>
      <w:bookmarkStart w:colFirst="0" w:colLast="0" w:name="_ie5qc1q9c2se" w:id="7"/>
      <w:bookmarkEnd w:id="7"/>
      <w:r w:rsidDel="00000000" w:rsidR="00000000" w:rsidRPr="00000000">
        <w:rPr>
          <w:rtl w:val="0"/>
        </w:rPr>
        <w:t xml:space="preserve">Durante a Viagem</w:t>
      </w:r>
    </w:p>
    <w:p w:rsidR="00000000" w:rsidDel="00000000" w:rsidP="00000000" w:rsidRDefault="00000000" w:rsidRPr="00000000" w14:paraId="00000015">
      <w:pPr>
        <w:pStyle w:val="Subtitle"/>
        <w:numPr>
          <w:ilvl w:val="1"/>
          <w:numId w:val="1"/>
        </w:numPr>
        <w:ind w:left="1440" w:hanging="360"/>
        <w:rPr/>
      </w:pPr>
      <w:bookmarkStart w:colFirst="0" w:colLast="0" w:name="_jhqytfphfkew" w:id="8"/>
      <w:bookmarkEnd w:id="8"/>
      <w:r w:rsidDel="00000000" w:rsidR="00000000" w:rsidRPr="00000000">
        <w:rPr>
          <w:rtl w:val="0"/>
        </w:rPr>
        <w:t xml:space="preserve">Incorporação de Atividades Exclusivas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Integrar atividades únicas, como visitas a comunidades locais e workshops culturais.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Participar de eventos especiais para uma experiência autêntica.</w:t>
      </w:r>
    </w:p>
    <w:p w:rsidR="00000000" w:rsidDel="00000000" w:rsidP="00000000" w:rsidRDefault="00000000" w:rsidRPr="00000000" w14:paraId="00000018">
      <w:pPr>
        <w:pStyle w:val="Subtitle"/>
        <w:numPr>
          <w:ilvl w:val="1"/>
          <w:numId w:val="1"/>
        </w:numPr>
      </w:pPr>
      <w:bookmarkStart w:colFirst="0" w:colLast="0" w:name="_grjfo2m1r1jv" w:id="9"/>
      <w:bookmarkEnd w:id="9"/>
      <w:r w:rsidDel="00000000" w:rsidR="00000000" w:rsidRPr="00000000">
        <w:rPr>
          <w:rtl w:val="0"/>
        </w:rPr>
        <w:t xml:space="preserve">Guia Local Especializado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Reconhecer a importância de guias locais especializados.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Proporcionar insights valiosos e uma imersão mais profunda na cultura local.</w:t>
      </w:r>
    </w:p>
    <w:p w:rsidR="00000000" w:rsidDel="00000000" w:rsidP="00000000" w:rsidRDefault="00000000" w:rsidRPr="00000000" w14:paraId="0000001B">
      <w:pPr>
        <w:pStyle w:val="Subtitle"/>
        <w:numPr>
          <w:ilvl w:val="1"/>
          <w:numId w:val="1"/>
        </w:numPr>
      </w:pPr>
      <w:bookmarkStart w:colFirst="0" w:colLast="0" w:name="_qoizfdp1d6fh" w:id="10"/>
      <w:bookmarkEnd w:id="10"/>
      <w:r w:rsidDel="00000000" w:rsidR="00000000" w:rsidRPr="00000000">
        <w:rPr>
          <w:rtl w:val="0"/>
        </w:rPr>
        <w:t xml:space="preserve">Tempo Livre para Exploração Pessoal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Incentivar períodos de tempo livre para exploração pessoal.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Permitir que os participantes personalizem sua experiência.</w:t>
      </w:r>
    </w:p>
    <w:p w:rsidR="00000000" w:rsidDel="00000000" w:rsidP="00000000" w:rsidRDefault="00000000" w:rsidRPr="00000000" w14:paraId="0000001E">
      <w:pPr>
        <w:pStyle w:val="Title"/>
        <w:numPr>
          <w:ilvl w:val="0"/>
          <w:numId w:val="1"/>
        </w:numPr>
        <w:ind w:left="720" w:hanging="360"/>
      </w:pPr>
      <w:bookmarkStart w:colFirst="0" w:colLast="0" w:name="_ciq31qwk3tfs" w:id="11"/>
      <w:bookmarkEnd w:id="11"/>
      <w:r w:rsidDel="00000000" w:rsidR="00000000" w:rsidRPr="00000000">
        <w:rPr>
          <w:rtl w:val="0"/>
        </w:rPr>
        <w:t xml:space="preserve">Para Diferentes Tamanhos de Grupos</w:t>
      </w:r>
    </w:p>
    <w:p w:rsidR="00000000" w:rsidDel="00000000" w:rsidP="00000000" w:rsidRDefault="00000000" w:rsidRPr="00000000" w14:paraId="0000001F">
      <w:pPr>
        <w:pStyle w:val="Subtitle"/>
        <w:numPr>
          <w:ilvl w:val="1"/>
          <w:numId w:val="1"/>
        </w:numPr>
        <w:ind w:left="1440" w:hanging="360"/>
      </w:pPr>
      <w:bookmarkStart w:colFirst="0" w:colLast="0" w:name="_64qu39u2ti47" w:id="12"/>
      <w:bookmarkEnd w:id="12"/>
      <w:r w:rsidDel="00000000" w:rsidR="00000000" w:rsidRPr="00000000">
        <w:rPr>
          <w:rtl w:val="0"/>
        </w:rPr>
        <w:t xml:space="preserve">Grupos Menores: Intimidade e Personalização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Explore destinos menos explorados para uma imersão mais profunda.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Incorpore atividades exclusivas beneficiadas pela menor escala.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Enfatize o serviço personalizado para criar uma conexão mais estreita.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Subtitle"/>
        <w:numPr>
          <w:ilvl w:val="1"/>
          <w:numId w:val="1"/>
        </w:numPr>
        <w:ind w:left="1440" w:hanging="360"/>
      </w:pPr>
      <w:bookmarkStart w:colFirst="0" w:colLast="0" w:name="_qsnuygqk51l7" w:id="13"/>
      <w:bookmarkEnd w:id="13"/>
      <w:r w:rsidDel="00000000" w:rsidR="00000000" w:rsidRPr="00000000">
        <w:rPr>
          <w:rtl w:val="0"/>
        </w:rPr>
        <w:t xml:space="preserve">Grupos Maiores: Coesão e Dinamismo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Desenvolver itinerários variados para agradar a todos os participantes.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Utilizar guias experientes e sistemas de comunicação eficientes.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Planejar atividades em locais populares otimizando horários para evitar aglomerações.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Title"/>
        <w:numPr>
          <w:ilvl w:val="0"/>
          <w:numId w:val="1"/>
        </w:numPr>
        <w:ind w:left="720" w:hanging="360"/>
      </w:pPr>
      <w:bookmarkStart w:colFirst="0" w:colLast="0" w:name="_4gotx3fow0kg" w:id="14"/>
      <w:bookmarkEnd w:id="14"/>
      <w:r w:rsidDel="00000000" w:rsidR="00000000" w:rsidRPr="00000000">
        <w:rPr>
          <w:rtl w:val="0"/>
        </w:rPr>
        <w:t xml:space="preserve">Parcerias Locais e Experiências Exclusivas</w:t>
      </w:r>
    </w:p>
    <w:p w:rsidR="00000000" w:rsidDel="00000000" w:rsidP="00000000" w:rsidRDefault="00000000" w:rsidRPr="00000000" w14:paraId="00000028">
      <w:pPr>
        <w:pStyle w:val="Subtitle"/>
        <w:numPr>
          <w:ilvl w:val="1"/>
          <w:numId w:val="1"/>
        </w:numPr>
        <w:ind w:left="1440" w:hanging="360"/>
      </w:pPr>
      <w:bookmarkStart w:colFirst="0" w:colLast="0" w:name="_5s9wv1tpdp58" w:id="15"/>
      <w:bookmarkEnd w:id="15"/>
      <w:r w:rsidDel="00000000" w:rsidR="00000000" w:rsidRPr="00000000">
        <w:rPr>
          <w:rtl w:val="0"/>
        </w:rPr>
        <w:t xml:space="preserve">Construindo Parcerias Autênticas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Estabelecer conexões autênticas com comunidades locais.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Incluir artesãos locais, guias comunitários e iniciativas de preservação cultural nos itinerários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B">
      <w:pPr>
        <w:pStyle w:val="Subtitle"/>
        <w:numPr>
          <w:ilvl w:val="1"/>
          <w:numId w:val="1"/>
        </w:numPr>
        <w:ind w:left="1440" w:hanging="360"/>
      </w:pPr>
      <w:bookmarkStart w:colFirst="0" w:colLast="0" w:name="_djdgm0rr1mv6" w:id="16"/>
      <w:bookmarkEnd w:id="16"/>
      <w:r w:rsidDel="00000000" w:rsidR="00000000" w:rsidRPr="00000000">
        <w:rPr>
          <w:rtl w:val="0"/>
        </w:rPr>
        <w:t xml:space="preserve">Atividades Exclusivas e Impacto Positivo</w:t>
      </w:r>
    </w:p>
    <w:p w:rsidR="00000000" w:rsidDel="00000000" w:rsidP="00000000" w:rsidRDefault="00000000" w:rsidRPr="00000000" w14:paraId="0000002C">
      <w:pPr>
        <w:pStyle w:val="Subtitle"/>
        <w:numPr>
          <w:ilvl w:val="2"/>
          <w:numId w:val="1"/>
        </w:numPr>
        <w:ind w:left="2160" w:hanging="360"/>
      </w:pPr>
      <w:bookmarkStart w:colFirst="0" w:colLast="0" w:name="_7bsre6au5j6t" w:id="17"/>
      <w:bookmarkEnd w:id="17"/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Integre atividades que vão além do turismo convencional.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Subtitle"/>
        <w:numPr>
          <w:ilvl w:val="2"/>
          <w:numId w:val="1"/>
        </w:numPr>
        <w:ind w:left="2160" w:hanging="360"/>
      </w:pPr>
      <w:bookmarkStart w:colFirst="0" w:colLast="0" w:name="_fq5cevi1moiw" w:id="18"/>
      <w:bookmarkEnd w:id="18"/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Contribuir para o desenvolvimento sustentável das regiões visitadas.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Subtitle"/>
        <w:numPr>
          <w:ilvl w:val="1"/>
          <w:numId w:val="1"/>
        </w:numPr>
      </w:pPr>
      <w:bookmarkStart w:colFirst="0" w:colLast="0" w:name="_ctqkdvvqxp6y" w:id="19"/>
      <w:bookmarkEnd w:id="19"/>
      <w:r w:rsidDel="00000000" w:rsidR="00000000" w:rsidRPr="00000000">
        <w:rPr>
          <w:rFonts w:ascii="Roboto" w:cs="Roboto" w:eastAsia="Roboto" w:hAnsi="Roboto"/>
          <w:rtl w:val="0"/>
        </w:rPr>
        <w:t xml:space="preserve">Celebrando a Diversidade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Subtitle"/>
        <w:numPr>
          <w:ilvl w:val="2"/>
          <w:numId w:val="1"/>
        </w:numPr>
        <w:ind w:left="2160" w:hanging="360"/>
      </w:pPr>
      <w:bookmarkStart w:colFirst="0" w:colLast="0" w:name="_7nqbh8s1vo02" w:id="20"/>
      <w:bookmarkEnd w:id="20"/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Destacar e celebrar a diversidade cultural em itinerários.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Subtitle"/>
        <w:numPr>
          <w:ilvl w:val="2"/>
          <w:numId w:val="1"/>
        </w:numPr>
        <w:ind w:left="2160" w:hanging="360"/>
      </w:pPr>
      <w:bookmarkStart w:colFirst="0" w:colLast="0" w:name="_ay99rjit0qs1" w:id="21"/>
      <w:bookmarkEnd w:id="21"/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Incluir jantares temáticos, festivais locais e experiências promotoras de compreensão cultural.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Este checklist abrangente é uma ferramenta essencial para garantir que cada detalhe seja considerado ao organizar viagens em grupo para o Peru. Certifique-se de adaptar cada ponto de acordo com as necessidades específicas do grupo e proporcionar uma experiência verdadeiramente inesquecível.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.0000000000002" w:top="1440.0000000000002" w:left="1440.0000000000002" w:right="1440.0000000000002" w:header="283.4645669291338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ind w:left="566.9291338582675" w:hanging="360"/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ptaoperadora.com.br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ind w:left="566.9291338582675" w:hanging="360"/>
      <w:jc w:val="center"/>
      <w:rPr/>
    </w:pPr>
    <w:r w:rsidDel="00000000" w:rsidR="00000000" w:rsidRPr="00000000">
      <w:rPr/>
      <w:drawing>
        <wp:inline distB="114300" distT="114300" distL="114300" distR="114300">
          <wp:extent cx="601500" cy="601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1500" cy="60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4"/>
        <w:szCs w:val="24"/>
        <w:lang w:val="pt_BR"/>
      </w:rPr>
    </w:rPrDefault>
    <w:pPrDefault>
      <w:pPr>
        <w:spacing w:after="200" w:line="276" w:lineRule="auto"/>
        <w:ind w:left="216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00" w:before="200" w:line="360" w:lineRule="auto"/>
    </w:pPr>
    <w:rPr>
      <w:rFonts w:ascii="Roboto" w:cs="Roboto" w:eastAsia="Roboto" w:hAnsi="Roboto"/>
      <w:b w:val="1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200" w:line="240" w:lineRule="auto"/>
      <w:ind w:left="1440" w:hanging="360"/>
    </w:pPr>
    <w:rPr>
      <w:rFonts w:ascii="Roboto" w:cs="Roboto" w:eastAsia="Roboto" w:hAnsi="Roboto"/>
      <w:color w:val="666666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ptaoperadora.com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